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1ED0BDE" w14:textId="77777777" w:rsidR="00A2477A" w:rsidRDefault="00A2477A" w:rsidP="00A2477A">
      <w:pPr>
        <w:rPr>
          <w:b/>
          <w:sz w:val="28"/>
          <w:szCs w:val="28"/>
          <w:lang w:val="en-GB"/>
        </w:rPr>
      </w:pPr>
    </w:p>
    <w:p w14:paraId="4DECFE3E" w14:textId="77777777" w:rsidR="007252E6" w:rsidRPr="00857F29" w:rsidRDefault="007512A5" w:rsidP="007252E6">
      <w:pPr>
        <w:jc w:val="center"/>
        <w:rPr>
          <w:b/>
          <w:sz w:val="28"/>
          <w:szCs w:val="28"/>
          <w:lang w:val="en-GB"/>
        </w:rPr>
      </w:pPr>
      <w:r>
        <w:rPr>
          <w:b/>
          <w:sz w:val="28"/>
          <w:szCs w:val="28"/>
          <w:lang w:val="en-GB"/>
        </w:rPr>
        <w:t>Unified pH – what, why and how?</w:t>
      </w:r>
    </w:p>
    <w:p w14:paraId="17E26C03" w14:textId="77777777" w:rsidR="00053A2C" w:rsidRPr="007252E6" w:rsidRDefault="00053A2C" w:rsidP="006343C0">
      <w:pPr>
        <w:jc w:val="center"/>
        <w:rPr>
          <w:b/>
          <w:lang w:val="en-GB"/>
        </w:rPr>
      </w:pPr>
    </w:p>
    <w:p w14:paraId="6456809C" w14:textId="77777777" w:rsidR="00053A2C" w:rsidRPr="007252E6" w:rsidRDefault="007512A5" w:rsidP="00053A2C">
      <w:pPr>
        <w:jc w:val="center"/>
        <w:rPr>
          <w:b/>
          <w:lang w:val="en-US"/>
        </w:rPr>
      </w:pPr>
      <w:r>
        <w:rPr>
          <w:b/>
          <w:lang w:val="en-US"/>
        </w:rPr>
        <w:t>I</w:t>
      </w:r>
      <w:r w:rsidR="00053A2C" w:rsidRPr="004A1E19">
        <w:rPr>
          <w:b/>
          <w:lang w:val="en-US"/>
        </w:rPr>
        <w:t xml:space="preserve">. </w:t>
      </w:r>
      <w:r>
        <w:rPr>
          <w:b/>
          <w:lang w:val="en-US"/>
        </w:rPr>
        <w:t>Leito</w:t>
      </w:r>
      <w:r w:rsidR="00696307" w:rsidRPr="004A1E19">
        <w:rPr>
          <w:b/>
          <w:vertAlign w:val="superscript"/>
          <w:lang w:val="en-US"/>
        </w:rPr>
        <w:t>1</w:t>
      </w:r>
      <w:r w:rsidR="00396368">
        <w:rPr>
          <w:b/>
          <w:vertAlign w:val="superscript"/>
          <w:lang w:val="en-US"/>
        </w:rPr>
        <w:t>,</w:t>
      </w:r>
      <w:r>
        <w:rPr>
          <w:b/>
          <w:vertAlign w:val="superscript"/>
          <w:lang w:val="en-US"/>
        </w:rPr>
        <w:t>*</w:t>
      </w:r>
      <w:r w:rsidR="004A1E19">
        <w:rPr>
          <w:b/>
          <w:lang w:val="en-US"/>
        </w:rPr>
        <w:t xml:space="preserve"> </w:t>
      </w:r>
      <w:r>
        <w:rPr>
          <w:b/>
          <w:lang w:val="en-US"/>
        </w:rPr>
        <w:t>A</w:t>
      </w:r>
      <w:r w:rsidR="004A1E19">
        <w:rPr>
          <w:b/>
          <w:lang w:val="en-US"/>
        </w:rPr>
        <w:t xml:space="preserve">. </w:t>
      </w:r>
      <w:r>
        <w:rPr>
          <w:b/>
          <w:lang w:val="en-US"/>
        </w:rPr>
        <w:t>Heering</w:t>
      </w:r>
      <w:r w:rsidR="004A1E19">
        <w:rPr>
          <w:b/>
          <w:vertAlign w:val="superscript"/>
          <w:lang w:val="en-US"/>
        </w:rPr>
        <w:t>2</w:t>
      </w:r>
    </w:p>
    <w:p w14:paraId="6590D27C" w14:textId="77777777" w:rsidR="00053A2C" w:rsidRPr="007252E6" w:rsidRDefault="00696307" w:rsidP="007512A5">
      <w:pPr>
        <w:jc w:val="center"/>
        <w:rPr>
          <w:i/>
          <w:sz w:val="20"/>
          <w:szCs w:val="20"/>
          <w:lang w:val="en-US"/>
        </w:rPr>
      </w:pPr>
      <w:r w:rsidRPr="007252E6">
        <w:rPr>
          <w:i/>
          <w:sz w:val="20"/>
          <w:szCs w:val="20"/>
          <w:vertAlign w:val="superscript"/>
          <w:lang w:val="en-US"/>
        </w:rPr>
        <w:t>1</w:t>
      </w:r>
      <w:r w:rsidR="007512A5" w:rsidRPr="007512A5">
        <w:rPr>
          <w:i/>
          <w:sz w:val="20"/>
          <w:szCs w:val="20"/>
          <w:lang w:val="en-US"/>
        </w:rPr>
        <w:t>University of Tartu</w:t>
      </w:r>
      <w:r w:rsidR="007512A5">
        <w:rPr>
          <w:i/>
          <w:sz w:val="20"/>
          <w:szCs w:val="20"/>
          <w:lang w:val="en-US"/>
        </w:rPr>
        <w:t xml:space="preserve">, </w:t>
      </w:r>
      <w:r w:rsidR="007512A5" w:rsidRPr="007512A5">
        <w:rPr>
          <w:i/>
          <w:sz w:val="20"/>
          <w:szCs w:val="20"/>
          <w:lang w:val="en-US"/>
        </w:rPr>
        <w:t>Institute of Chemistry</w:t>
      </w:r>
      <w:r w:rsidR="007512A5">
        <w:rPr>
          <w:i/>
          <w:sz w:val="20"/>
          <w:szCs w:val="20"/>
          <w:lang w:val="en-US"/>
        </w:rPr>
        <w:t xml:space="preserve">, </w:t>
      </w:r>
      <w:r w:rsidR="007512A5" w:rsidRPr="007512A5">
        <w:rPr>
          <w:i/>
          <w:sz w:val="20"/>
          <w:szCs w:val="20"/>
          <w:lang w:val="en-US"/>
        </w:rPr>
        <w:t>Ravila 14a, 50411 Tartu</w:t>
      </w:r>
      <w:r w:rsidR="007512A5">
        <w:rPr>
          <w:i/>
          <w:sz w:val="20"/>
          <w:szCs w:val="20"/>
          <w:lang w:val="en-US"/>
        </w:rPr>
        <w:t xml:space="preserve">, </w:t>
      </w:r>
      <w:r w:rsidR="007512A5" w:rsidRPr="007512A5">
        <w:rPr>
          <w:i/>
          <w:sz w:val="20"/>
          <w:szCs w:val="20"/>
          <w:lang w:val="en-US"/>
        </w:rPr>
        <w:t>Estonia</w:t>
      </w:r>
    </w:p>
    <w:p w14:paraId="7FE7DBE0" w14:textId="77777777" w:rsidR="00867ED4" w:rsidRPr="007252E6" w:rsidRDefault="004A1E19" w:rsidP="004A1E19">
      <w:pPr>
        <w:ind w:left="720"/>
        <w:jc w:val="center"/>
        <w:rPr>
          <w:i/>
          <w:sz w:val="20"/>
          <w:szCs w:val="20"/>
          <w:lang w:val="en-US"/>
        </w:rPr>
      </w:pPr>
      <w:r w:rsidRPr="007252E6">
        <w:rPr>
          <w:sz w:val="20"/>
          <w:szCs w:val="20"/>
          <w:lang w:val="en-US"/>
        </w:rPr>
        <w:t>*</w:t>
      </w:r>
      <w:r w:rsidRPr="007252E6">
        <w:rPr>
          <w:i/>
          <w:sz w:val="20"/>
          <w:szCs w:val="20"/>
          <w:lang w:val="en-US"/>
        </w:rPr>
        <w:t>Corresponding author, e</w:t>
      </w:r>
      <w:r w:rsidR="00053A2C" w:rsidRPr="007252E6">
        <w:rPr>
          <w:i/>
          <w:sz w:val="20"/>
          <w:szCs w:val="20"/>
          <w:lang w:val="en-US"/>
        </w:rPr>
        <w:t>-mail:</w:t>
      </w:r>
      <w:r w:rsidR="007512A5">
        <w:rPr>
          <w:i/>
          <w:sz w:val="20"/>
          <w:szCs w:val="20"/>
          <w:lang w:val="en-US"/>
        </w:rPr>
        <w:t xml:space="preserve"> ivo.leito@ut.ee</w:t>
      </w:r>
    </w:p>
    <w:p w14:paraId="7CEB11BD" w14:textId="77777777" w:rsidR="007252E6" w:rsidRPr="000D0AEB" w:rsidRDefault="007252E6" w:rsidP="00B16327">
      <w:pPr>
        <w:autoSpaceDE w:val="0"/>
        <w:autoSpaceDN w:val="0"/>
        <w:adjustRightInd w:val="0"/>
        <w:rPr>
          <w:sz w:val="22"/>
          <w:szCs w:val="22"/>
          <w:lang w:val="en-US"/>
        </w:rPr>
      </w:pPr>
    </w:p>
    <w:p w14:paraId="6114791E" w14:textId="5A0EA16F" w:rsidR="000D0AEB" w:rsidRPr="000D0AEB" w:rsidRDefault="000D0AEB" w:rsidP="000D0AEB">
      <w:pPr>
        <w:rPr>
          <w:sz w:val="22"/>
          <w:szCs w:val="22"/>
        </w:rPr>
      </w:pPr>
      <w:r w:rsidRPr="000D0AEB">
        <w:rPr>
          <w:sz w:val="22"/>
          <w:szCs w:val="22"/>
        </w:rPr>
        <w:t>Acidity is one of the most important characteristics of liquids/solutions</w:t>
      </w:r>
      <w:r w:rsidR="008655D7">
        <w:rPr>
          <w:sz w:val="22"/>
          <w:szCs w:val="22"/>
        </w:rPr>
        <w:t>,</w:t>
      </w:r>
      <w:r w:rsidRPr="000D0AEB">
        <w:rPr>
          <w:sz w:val="22"/>
          <w:szCs w:val="22"/>
        </w:rPr>
        <w:t xml:space="preserve"> and its measurement is crucial to understand</w:t>
      </w:r>
      <w:r w:rsidR="008655D7">
        <w:rPr>
          <w:sz w:val="22"/>
          <w:szCs w:val="22"/>
        </w:rPr>
        <w:t>ing</w:t>
      </w:r>
      <w:r w:rsidRPr="000D0AEB">
        <w:rPr>
          <w:sz w:val="22"/>
          <w:szCs w:val="22"/>
        </w:rPr>
        <w:t xml:space="preserve"> and control</w:t>
      </w:r>
      <w:r w:rsidR="008655D7">
        <w:rPr>
          <w:sz w:val="22"/>
          <w:szCs w:val="22"/>
        </w:rPr>
        <w:t>ling</w:t>
      </w:r>
      <w:r w:rsidRPr="000D0AEB">
        <w:rPr>
          <w:sz w:val="22"/>
          <w:szCs w:val="22"/>
        </w:rPr>
        <w:t xml:space="preserve"> </w:t>
      </w:r>
      <w:r w:rsidR="008655D7">
        <w:rPr>
          <w:sz w:val="22"/>
          <w:szCs w:val="22"/>
        </w:rPr>
        <w:t>essential</w:t>
      </w:r>
      <w:r w:rsidR="008655D7" w:rsidRPr="000D0AEB">
        <w:rPr>
          <w:sz w:val="22"/>
          <w:szCs w:val="22"/>
        </w:rPr>
        <w:t xml:space="preserve"> </w:t>
      </w:r>
      <w:r w:rsidRPr="000D0AEB">
        <w:rPr>
          <w:sz w:val="22"/>
          <w:szCs w:val="22"/>
        </w:rPr>
        <w:t xml:space="preserve">processes in fundamental chemistry, industry and living organisms, such as catalysis, extraction, chromatography, processes in micelles/bilayers, etc. Acidity refers to the activity of the solvated proton and is </w:t>
      </w:r>
      <w:r w:rsidR="00CE3B6D">
        <w:rPr>
          <w:sz w:val="22"/>
          <w:szCs w:val="22"/>
        </w:rPr>
        <w:t xml:space="preserve">typically </w:t>
      </w:r>
      <w:r w:rsidRPr="000D0AEB">
        <w:rPr>
          <w:sz w:val="22"/>
          <w:szCs w:val="22"/>
        </w:rPr>
        <w:t xml:space="preserve">expressed as </w:t>
      </w:r>
      <w:proofErr w:type="spellStart"/>
      <w:r w:rsidRPr="000D0AEB">
        <w:rPr>
          <w:sz w:val="22"/>
          <w:szCs w:val="22"/>
        </w:rPr>
        <w:t>pH.</w:t>
      </w:r>
      <w:proofErr w:type="spellEnd"/>
      <w:r w:rsidRPr="000D0AEB">
        <w:rPr>
          <w:sz w:val="22"/>
          <w:szCs w:val="22"/>
        </w:rPr>
        <w:t xml:space="preserve"> However, the conventional pH scale is well established only in dilute aqueous solutions at medium pH values. It has serious limitations </w:t>
      </w:r>
      <w:r w:rsidR="00657560">
        <w:rPr>
          <w:sz w:val="22"/>
          <w:szCs w:val="22"/>
        </w:rPr>
        <w:t xml:space="preserve">at extreme values, </w:t>
      </w:r>
      <w:r w:rsidRPr="000D0AEB">
        <w:rPr>
          <w:sz w:val="22"/>
          <w:szCs w:val="22"/>
        </w:rPr>
        <w:t>in other solvents or more complex media where most of the real-life chemistry takes place. Most importantly, comparison of the conventional pH values between different media (solvents) is impossible</w:t>
      </w:r>
      <w:r w:rsidR="00657560">
        <w:rPr>
          <w:sz w:val="22"/>
          <w:szCs w:val="22"/>
        </w:rPr>
        <w:t xml:space="preserve">, because every solvent has its own pH scale. </w:t>
      </w:r>
      <w:r w:rsidR="00552651">
        <w:rPr>
          <w:sz w:val="22"/>
          <w:szCs w:val="22"/>
        </w:rPr>
        <w:t>Example: pH 7 in water is neural but pH 7 in acetonitrile is strongly acidic</w:t>
      </w:r>
      <w:r w:rsidRPr="000D0AEB">
        <w:rPr>
          <w:sz w:val="22"/>
          <w:szCs w:val="22"/>
        </w:rPr>
        <w:t>.</w:t>
      </w:r>
    </w:p>
    <w:p w14:paraId="69775EAB" w14:textId="77777777" w:rsidR="000D0AEB" w:rsidRPr="000D0AEB" w:rsidRDefault="000D0AEB" w:rsidP="000D0AEB">
      <w:pPr>
        <w:rPr>
          <w:sz w:val="22"/>
          <w:szCs w:val="22"/>
        </w:rPr>
      </w:pPr>
    </w:p>
    <w:p w14:paraId="2377C01B" w14:textId="0B12DCDE" w:rsidR="000D0AEB" w:rsidRPr="0083214A" w:rsidRDefault="000D0AEB" w:rsidP="000D0AEB">
      <w:pPr>
        <w:rPr>
          <w:sz w:val="22"/>
          <w:szCs w:val="22"/>
          <w:vertAlign w:val="subscript"/>
        </w:rPr>
      </w:pPr>
      <w:r w:rsidRPr="000D0AEB">
        <w:rPr>
          <w:sz w:val="22"/>
          <w:szCs w:val="22"/>
        </w:rPr>
        <w:t>In view of the above, a decade ago, the concept of “unified pH scale” was put forward, defining unified pH (pH</w:t>
      </w:r>
      <w:r w:rsidRPr="000D0AEB">
        <w:rPr>
          <w:sz w:val="22"/>
          <w:szCs w:val="22"/>
          <w:vertAlign w:val="subscript"/>
        </w:rPr>
        <w:t>abs</w:t>
      </w:r>
      <w:r w:rsidRPr="000D0AEB">
        <w:rPr>
          <w:sz w:val="22"/>
          <w:szCs w:val="22"/>
        </w:rPr>
        <w:t>) via the absolute chemical potential of the solvated proto</w:t>
      </w:r>
      <w:r w:rsidR="008655D7">
        <w:rPr>
          <w:sz w:val="22"/>
          <w:szCs w:val="22"/>
        </w:rPr>
        <w:t>n</w:t>
      </w:r>
      <w:r w:rsidR="000D5188">
        <w:rPr>
          <w:sz w:val="22"/>
          <w:szCs w:val="22"/>
        </w:rPr>
        <w:t xml:space="preserve"> </w:t>
      </w:r>
      <w:r w:rsidR="000E75C5" w:rsidRPr="00537921">
        <w:rPr>
          <w:sz w:val="22"/>
        </w:rPr>
        <w:t>[1]</w:t>
      </w:r>
      <w:r w:rsidR="000D5188" w:rsidRPr="000D5188">
        <w:rPr>
          <w:sz w:val="22"/>
          <w:szCs w:val="22"/>
        </w:rPr>
        <w:t>.</w:t>
      </w:r>
      <w:r w:rsidRPr="000D0AEB">
        <w:rPr>
          <w:sz w:val="22"/>
          <w:szCs w:val="22"/>
        </w:rPr>
        <w:t xml:space="preserve"> For easier comparability the pH</w:t>
      </w:r>
      <w:r w:rsidRPr="000D0AEB">
        <w:rPr>
          <w:sz w:val="22"/>
          <w:szCs w:val="22"/>
          <w:vertAlign w:val="subscript"/>
        </w:rPr>
        <w:t>abs</w:t>
      </w:r>
      <w:r w:rsidRPr="000D0AEB">
        <w:rPr>
          <w:sz w:val="22"/>
          <w:szCs w:val="22"/>
        </w:rPr>
        <w:t xml:space="preserve"> scale was subsequently "aligned" with the aqueous pH scale</w:t>
      </w:r>
      <w:r w:rsidR="008051FE">
        <w:rPr>
          <w:sz w:val="22"/>
          <w:szCs w:val="22"/>
        </w:rPr>
        <w:t>, termed as</w:t>
      </w:r>
      <w:r w:rsidR="008051FE">
        <w:t xml:space="preserve"> </w:t>
      </w:r>
      <m:oMath>
        <m:sSubSup>
          <m:sSubSupPr>
            <m:ctrlPr>
              <w:rPr>
                <w:rFonts w:ascii="Cambria Math" w:hAnsi="Cambria Math"/>
                <w:i/>
              </w:rPr>
            </m:ctrlPr>
          </m:sSubSupPr>
          <m:e>
            <m:r>
              <m:rPr>
                <m:sty m:val="p"/>
              </m:rPr>
              <w:rPr>
                <w:rFonts w:ascii="Cambria Math" w:hAnsi="Cambria Math"/>
              </w:rPr>
              <m:t>pH</m:t>
            </m:r>
          </m:e>
          <m:sub>
            <m:r>
              <m:rPr>
                <m:sty m:val="p"/>
              </m:rPr>
              <w:rPr>
                <w:rFonts w:ascii="Cambria Math" w:hAnsi="Cambria Math"/>
              </w:rPr>
              <m:t>abs</m:t>
            </m:r>
          </m:sub>
          <m:sup>
            <m:r>
              <m:rPr>
                <m:sty m:val="p"/>
              </m:rPr>
              <w:rPr>
                <w:rFonts w:ascii="Cambria Math" w:hAnsi="Cambria Math"/>
              </w:rPr>
              <m:t>H2O</m:t>
            </m:r>
          </m:sup>
        </m:sSubSup>
      </m:oMath>
      <w:r w:rsidR="000D5188">
        <w:rPr>
          <w:sz w:val="22"/>
          <w:szCs w:val="22"/>
        </w:rPr>
        <w:t xml:space="preserve"> </w:t>
      </w:r>
      <w:r w:rsidR="000E75C5" w:rsidRPr="000D5188">
        <w:rPr>
          <w:sz w:val="22"/>
          <w:szCs w:val="22"/>
        </w:rPr>
        <w:t>[2]</w:t>
      </w:r>
      <w:r w:rsidR="000D5188">
        <w:rPr>
          <w:sz w:val="22"/>
          <w:szCs w:val="22"/>
        </w:rPr>
        <w:t>,</w:t>
      </w:r>
      <w:r w:rsidRPr="000D5188">
        <w:rPr>
          <w:sz w:val="22"/>
          <w:szCs w:val="22"/>
        </w:rPr>
        <w:t xml:space="preserve"> </w:t>
      </w:r>
      <w:r w:rsidRPr="000D0AEB">
        <w:rPr>
          <w:sz w:val="22"/>
          <w:szCs w:val="22"/>
        </w:rPr>
        <w:t xml:space="preserve">so that any medium/solution with </w:t>
      </w:r>
      <w:r w:rsidR="00CA4F1A">
        <w:t xml:space="preserve"> </w:t>
      </w:r>
      <m:oMath>
        <m:sSubSup>
          <m:sSubSupPr>
            <m:ctrlPr>
              <w:rPr>
                <w:rFonts w:ascii="Cambria Math" w:hAnsi="Cambria Math"/>
                <w:i/>
              </w:rPr>
            </m:ctrlPr>
          </m:sSubSupPr>
          <m:e>
            <m:r>
              <m:rPr>
                <m:sty m:val="p"/>
              </m:rPr>
              <w:rPr>
                <w:rFonts w:ascii="Cambria Math" w:hAnsi="Cambria Math"/>
              </w:rPr>
              <m:t>pH</m:t>
            </m:r>
          </m:e>
          <m:sub>
            <m:r>
              <m:rPr>
                <m:sty m:val="p"/>
              </m:rPr>
              <w:rPr>
                <w:rFonts w:ascii="Cambria Math" w:hAnsi="Cambria Math"/>
              </w:rPr>
              <m:t>abs</m:t>
            </m:r>
          </m:sub>
          <m:sup>
            <m:r>
              <m:rPr>
                <m:sty m:val="p"/>
              </m:rPr>
              <w:rPr>
                <w:rFonts w:ascii="Cambria Math" w:hAnsi="Cambria Math"/>
              </w:rPr>
              <m:t>H2O</m:t>
            </m:r>
          </m:sup>
        </m:sSubSup>
      </m:oMath>
      <w:r w:rsidR="00CA4F1A" w:rsidRPr="00C82285">
        <w:t xml:space="preserve"> </w:t>
      </w:r>
      <w:r w:rsidRPr="000D0AEB">
        <w:rPr>
          <w:sz w:val="22"/>
          <w:szCs w:val="22"/>
        </w:rPr>
        <w:t xml:space="preserve">7.00 has the same thermodynamic activity of the solvated proton as </w:t>
      </w:r>
      <w:r w:rsidR="0083214A">
        <w:rPr>
          <w:sz w:val="22"/>
          <w:szCs w:val="22"/>
        </w:rPr>
        <w:t xml:space="preserve">an </w:t>
      </w:r>
      <w:r w:rsidRPr="000D0AEB">
        <w:rPr>
          <w:sz w:val="22"/>
          <w:szCs w:val="22"/>
        </w:rPr>
        <w:t xml:space="preserve">aqueous solution with pH 7.00. The merits of this approach are </w:t>
      </w:r>
      <w:r w:rsidR="0083214A">
        <w:rPr>
          <w:sz w:val="22"/>
          <w:szCs w:val="22"/>
        </w:rPr>
        <w:t xml:space="preserve">a </w:t>
      </w:r>
      <w:r w:rsidRPr="000D0AEB">
        <w:rPr>
          <w:sz w:val="22"/>
          <w:szCs w:val="22"/>
        </w:rPr>
        <w:t xml:space="preserve">strict thermodynamic foundation and direct comparability of </w:t>
      </w:r>
      <m:oMath>
        <m:sSubSup>
          <m:sSubSupPr>
            <m:ctrlPr>
              <w:rPr>
                <w:rFonts w:ascii="Cambria Math" w:hAnsi="Cambria Math"/>
                <w:i/>
              </w:rPr>
            </m:ctrlPr>
          </m:sSubSupPr>
          <m:e>
            <m:r>
              <m:rPr>
                <m:sty m:val="p"/>
              </m:rPr>
              <w:rPr>
                <w:rFonts w:ascii="Cambria Math" w:hAnsi="Cambria Math"/>
              </w:rPr>
              <m:t>pH</m:t>
            </m:r>
          </m:e>
          <m:sub>
            <m:r>
              <m:rPr>
                <m:sty m:val="p"/>
              </m:rPr>
              <w:rPr>
                <w:rFonts w:ascii="Cambria Math" w:hAnsi="Cambria Math"/>
              </w:rPr>
              <m:t>abs</m:t>
            </m:r>
          </m:sub>
          <m:sup>
            <m:r>
              <m:rPr>
                <m:sty m:val="p"/>
              </m:rPr>
              <w:rPr>
                <w:rFonts w:ascii="Cambria Math" w:hAnsi="Cambria Math"/>
              </w:rPr>
              <m:t>H2O</m:t>
            </m:r>
          </m:sup>
        </m:sSubSup>
      </m:oMath>
      <w:r w:rsidRPr="000D0AEB">
        <w:rPr>
          <w:sz w:val="22"/>
          <w:szCs w:val="22"/>
        </w:rPr>
        <w:t xml:space="preserve"> values between any solvents/media.</w:t>
      </w:r>
    </w:p>
    <w:p w14:paraId="44119A8F" w14:textId="77777777" w:rsidR="000D0AEB" w:rsidRPr="000D0AEB" w:rsidRDefault="000D0AEB" w:rsidP="000D0AEB">
      <w:pPr>
        <w:rPr>
          <w:sz w:val="22"/>
          <w:szCs w:val="22"/>
        </w:rPr>
      </w:pPr>
    </w:p>
    <w:p w14:paraId="7263361D" w14:textId="2F4AD41D" w:rsidR="000D0AEB" w:rsidRPr="000D0AEB" w:rsidRDefault="000D0AEB" w:rsidP="000D0AEB">
      <w:pPr>
        <w:rPr>
          <w:sz w:val="22"/>
          <w:szCs w:val="22"/>
        </w:rPr>
      </w:pPr>
      <w:r w:rsidRPr="000D0AEB">
        <w:rPr>
          <w:sz w:val="22"/>
          <w:szCs w:val="22"/>
        </w:rPr>
        <w:t>Initially</w:t>
      </w:r>
      <w:r w:rsidR="0083214A">
        <w:rPr>
          <w:sz w:val="22"/>
          <w:szCs w:val="22"/>
        </w:rPr>
        <w:t>,</w:t>
      </w:r>
      <w:r w:rsidRPr="000D0AEB">
        <w:rPr>
          <w:sz w:val="22"/>
          <w:szCs w:val="22"/>
        </w:rPr>
        <w:t xml:space="preserve"> the </w:t>
      </w:r>
      <m:oMath>
        <m:sSubSup>
          <m:sSubSupPr>
            <m:ctrlPr>
              <w:rPr>
                <w:rFonts w:ascii="Cambria Math" w:hAnsi="Cambria Math"/>
                <w:i/>
              </w:rPr>
            </m:ctrlPr>
          </m:sSubSupPr>
          <m:e>
            <m:r>
              <m:rPr>
                <m:sty m:val="p"/>
              </m:rPr>
              <w:rPr>
                <w:rFonts w:ascii="Cambria Math" w:hAnsi="Cambria Math"/>
              </w:rPr>
              <m:t>pH</m:t>
            </m:r>
          </m:e>
          <m:sub>
            <m:r>
              <m:rPr>
                <m:sty m:val="p"/>
              </m:rPr>
              <w:rPr>
                <w:rFonts w:ascii="Cambria Math" w:hAnsi="Cambria Math"/>
              </w:rPr>
              <m:t>abs</m:t>
            </m:r>
          </m:sub>
          <m:sup>
            <m:r>
              <m:rPr>
                <m:sty m:val="p"/>
              </m:rPr>
              <w:rPr>
                <w:rFonts w:ascii="Cambria Math" w:hAnsi="Cambria Math"/>
              </w:rPr>
              <m:t>H2O</m:t>
            </m:r>
          </m:sup>
        </m:sSubSup>
      </m:oMath>
      <w:r w:rsidRPr="000D0AEB">
        <w:rPr>
          <w:sz w:val="22"/>
          <w:szCs w:val="22"/>
        </w:rPr>
        <w:t xml:space="preserve"> scale was a theoretical concept </w:t>
      </w:r>
      <w:r w:rsidR="0083214A">
        <w:rPr>
          <w:sz w:val="22"/>
          <w:szCs w:val="22"/>
        </w:rPr>
        <w:t xml:space="preserve">with </w:t>
      </w:r>
      <w:r w:rsidRPr="000D0AEB">
        <w:rPr>
          <w:sz w:val="22"/>
          <w:szCs w:val="22"/>
        </w:rPr>
        <w:t xml:space="preserve">no practical implementation. However, in the recent years, to a large part thanks to the European Union </w:t>
      </w:r>
      <w:proofErr w:type="spellStart"/>
      <w:r w:rsidRPr="000D0AEB">
        <w:rPr>
          <w:sz w:val="22"/>
          <w:szCs w:val="22"/>
        </w:rPr>
        <w:t>UnipHied</w:t>
      </w:r>
      <w:proofErr w:type="spellEnd"/>
      <w:r w:rsidRPr="000D0AEB">
        <w:rPr>
          <w:sz w:val="22"/>
          <w:szCs w:val="22"/>
        </w:rPr>
        <w:t xml:space="preserve"> (17FUN09, </w:t>
      </w:r>
      <w:hyperlink r:id="rId10" w:history="1">
        <w:r w:rsidRPr="000D0AEB">
          <w:rPr>
            <w:rStyle w:val="Hyperlink"/>
            <w:sz w:val="22"/>
            <w:szCs w:val="22"/>
          </w:rPr>
          <w:t>www.uniphied.eu</w:t>
        </w:r>
      </w:hyperlink>
      <w:r w:rsidRPr="000D0AEB">
        <w:rPr>
          <w:sz w:val="22"/>
          <w:szCs w:val="22"/>
        </w:rPr>
        <w:t xml:space="preserve">) project, the </w:t>
      </w:r>
      <m:oMath>
        <m:sSubSup>
          <m:sSubSupPr>
            <m:ctrlPr>
              <w:rPr>
                <w:rFonts w:ascii="Cambria Math" w:hAnsi="Cambria Math"/>
                <w:i/>
              </w:rPr>
            </m:ctrlPr>
          </m:sSubSupPr>
          <m:e>
            <m:r>
              <m:rPr>
                <m:sty m:val="p"/>
              </m:rPr>
              <w:rPr>
                <w:rFonts w:ascii="Cambria Math" w:hAnsi="Cambria Math"/>
              </w:rPr>
              <m:t>pH</m:t>
            </m:r>
          </m:e>
          <m:sub>
            <m:r>
              <m:rPr>
                <m:sty m:val="p"/>
              </m:rPr>
              <w:rPr>
                <w:rFonts w:ascii="Cambria Math" w:hAnsi="Cambria Math"/>
              </w:rPr>
              <m:t>abs</m:t>
            </m:r>
          </m:sub>
          <m:sup>
            <m:r>
              <m:rPr>
                <m:sty m:val="p"/>
              </m:rPr>
              <w:rPr>
                <w:rFonts w:ascii="Cambria Math" w:hAnsi="Cambria Math"/>
              </w:rPr>
              <m:t>H2O</m:t>
            </m:r>
          </m:sup>
        </m:sSubSup>
      </m:oMath>
      <w:r w:rsidRPr="000D0AEB">
        <w:rPr>
          <w:sz w:val="22"/>
          <w:szCs w:val="22"/>
        </w:rPr>
        <w:t xml:space="preserve"> measurement possibilities for have been developed</w:t>
      </w:r>
      <w:r w:rsidR="006A1428">
        <w:rPr>
          <w:sz w:val="22"/>
          <w:szCs w:val="22"/>
        </w:rPr>
        <w:t xml:space="preserve"> </w:t>
      </w:r>
      <w:r w:rsidR="000E75C5" w:rsidRPr="00537921">
        <w:rPr>
          <w:sz w:val="22"/>
        </w:rPr>
        <w:t>[2,3]</w:t>
      </w:r>
      <w:r w:rsidR="000D5188" w:rsidRPr="006A1428">
        <w:rPr>
          <w:sz w:val="22"/>
          <w:szCs w:val="22"/>
        </w:rPr>
        <w:t xml:space="preserve"> </w:t>
      </w:r>
      <w:r w:rsidR="000D5188">
        <w:rPr>
          <w:sz w:val="22"/>
          <w:szCs w:val="22"/>
        </w:rPr>
        <w:t>and the concept has now been published as an IUPAC technical report</w:t>
      </w:r>
      <w:r w:rsidR="00B14877" w:rsidRPr="00B14877">
        <w:rPr>
          <w:sz w:val="22"/>
          <w:szCs w:val="22"/>
        </w:rPr>
        <w:t xml:space="preserve"> </w:t>
      </w:r>
      <w:r w:rsidR="00B14877" w:rsidRPr="00B14877">
        <w:rPr>
          <w:sz w:val="22"/>
        </w:rPr>
        <w:t>[4]</w:t>
      </w:r>
      <w:r w:rsidR="000D5188" w:rsidRPr="00B14877">
        <w:rPr>
          <w:sz w:val="22"/>
          <w:szCs w:val="22"/>
        </w:rPr>
        <w:t>.</w:t>
      </w:r>
    </w:p>
    <w:p w14:paraId="631FF264" w14:textId="77777777" w:rsidR="000D0AEB" w:rsidRPr="000D0AEB" w:rsidRDefault="000D0AEB" w:rsidP="000D0AEB">
      <w:pPr>
        <w:rPr>
          <w:sz w:val="22"/>
          <w:szCs w:val="22"/>
        </w:rPr>
      </w:pPr>
    </w:p>
    <w:p w14:paraId="5BA2C9E8" w14:textId="1C493E35" w:rsidR="000D0AEB" w:rsidRPr="000D0AEB" w:rsidRDefault="000D0AEB" w:rsidP="00537921">
      <w:pPr>
        <w:rPr>
          <w:sz w:val="22"/>
          <w:szCs w:val="22"/>
        </w:rPr>
      </w:pPr>
      <w:r w:rsidRPr="000D0AEB">
        <w:rPr>
          <w:sz w:val="22"/>
          <w:szCs w:val="22"/>
        </w:rPr>
        <w:t xml:space="preserve">The presentation will give an overview of the </w:t>
      </w:r>
      <m:oMath>
        <m:sSubSup>
          <m:sSubSupPr>
            <m:ctrlPr>
              <w:rPr>
                <w:rFonts w:ascii="Cambria Math" w:hAnsi="Cambria Math"/>
                <w:i/>
              </w:rPr>
            </m:ctrlPr>
          </m:sSubSupPr>
          <m:e>
            <m:r>
              <m:rPr>
                <m:sty m:val="p"/>
              </m:rPr>
              <w:rPr>
                <w:rFonts w:ascii="Cambria Math" w:hAnsi="Cambria Math"/>
              </w:rPr>
              <m:t>pH</m:t>
            </m:r>
          </m:e>
          <m:sub>
            <m:r>
              <m:rPr>
                <m:sty m:val="p"/>
              </m:rPr>
              <w:rPr>
                <w:rFonts w:ascii="Cambria Math" w:hAnsi="Cambria Math"/>
              </w:rPr>
              <m:t>abs</m:t>
            </m:r>
          </m:sub>
          <m:sup>
            <m:r>
              <m:rPr>
                <m:sty m:val="p"/>
              </m:rPr>
              <w:rPr>
                <w:rFonts w:ascii="Cambria Math" w:hAnsi="Cambria Math"/>
              </w:rPr>
              <m:t>H2O</m:t>
            </m:r>
          </m:sup>
        </m:sSubSup>
      </m:oMath>
      <w:r w:rsidRPr="000D0AEB">
        <w:rPr>
          <w:sz w:val="22"/>
          <w:szCs w:val="22"/>
        </w:rPr>
        <w:t xml:space="preserve"> concept</w:t>
      </w:r>
      <w:r w:rsidR="00DC2865">
        <w:rPr>
          <w:sz w:val="22"/>
          <w:szCs w:val="22"/>
        </w:rPr>
        <w:t xml:space="preserve">, </w:t>
      </w:r>
      <w:r w:rsidRPr="000D0AEB">
        <w:rPr>
          <w:sz w:val="22"/>
          <w:szCs w:val="22"/>
        </w:rPr>
        <w:t>the principles of its current experimental realization</w:t>
      </w:r>
      <w:r w:rsidR="00DC2865">
        <w:rPr>
          <w:sz w:val="22"/>
          <w:szCs w:val="22"/>
        </w:rPr>
        <w:t xml:space="preserve"> and exemplary applications</w:t>
      </w:r>
      <w:r w:rsidRPr="000D0AEB">
        <w:rPr>
          <w:sz w:val="22"/>
          <w:szCs w:val="22"/>
        </w:rPr>
        <w:t>.</w:t>
      </w:r>
    </w:p>
    <w:p w14:paraId="0F28B27C" w14:textId="77777777" w:rsidR="000D0AEB" w:rsidRPr="000D0AEB" w:rsidRDefault="000D0AEB" w:rsidP="000D0AEB">
      <w:pPr>
        <w:autoSpaceDE w:val="0"/>
        <w:autoSpaceDN w:val="0"/>
        <w:adjustRightInd w:val="0"/>
        <w:ind w:firstLine="360"/>
        <w:rPr>
          <w:sz w:val="22"/>
          <w:szCs w:val="22"/>
          <w:lang w:val="en-US"/>
        </w:rPr>
      </w:pPr>
    </w:p>
    <w:p w14:paraId="2753F36C" w14:textId="77777777" w:rsidR="00183026" w:rsidRPr="00183026" w:rsidRDefault="00183026" w:rsidP="005A4066">
      <w:pPr>
        <w:autoSpaceDE w:val="0"/>
        <w:autoSpaceDN w:val="0"/>
        <w:adjustRightInd w:val="0"/>
        <w:spacing w:after="60"/>
        <w:rPr>
          <w:color w:val="231F20"/>
          <w:sz w:val="22"/>
          <w:szCs w:val="22"/>
          <w:lang w:val="en-US"/>
        </w:rPr>
      </w:pPr>
    </w:p>
    <w:p w14:paraId="5AAE4ECC" w14:textId="77777777" w:rsidR="007252E6" w:rsidRPr="005A4066" w:rsidRDefault="007252E6" w:rsidP="007252E6">
      <w:pPr>
        <w:autoSpaceDE w:val="0"/>
        <w:autoSpaceDN w:val="0"/>
        <w:adjustRightInd w:val="0"/>
        <w:rPr>
          <w:sz w:val="22"/>
          <w:szCs w:val="22"/>
          <w:lang w:val="en-US"/>
        </w:rPr>
      </w:pPr>
    </w:p>
    <w:p w14:paraId="6C11DCC5" w14:textId="77777777" w:rsidR="00D4096A" w:rsidRPr="00B16327" w:rsidRDefault="00D4096A" w:rsidP="00D4096A">
      <w:pPr>
        <w:rPr>
          <w:b/>
          <w:sz w:val="18"/>
          <w:szCs w:val="18"/>
          <w:lang w:val="en-US"/>
        </w:rPr>
      </w:pPr>
      <w:r w:rsidRPr="00B16327">
        <w:rPr>
          <w:b/>
          <w:sz w:val="18"/>
          <w:szCs w:val="18"/>
          <w:lang w:val="en-US"/>
        </w:rPr>
        <w:t>References</w:t>
      </w:r>
    </w:p>
    <w:p w14:paraId="044F6AA8" w14:textId="617EE0F8" w:rsidR="00B14877" w:rsidRPr="00B31C59" w:rsidRDefault="00A473A5" w:rsidP="00B14877">
      <w:pPr>
        <w:pStyle w:val="Bibliography"/>
        <w:rPr>
          <w:sz w:val="18"/>
        </w:rPr>
      </w:pPr>
      <w:r w:rsidRPr="00B31C59">
        <w:rPr>
          <w:sz w:val="18"/>
        </w:rPr>
        <w:t>1.</w:t>
      </w:r>
      <w:r w:rsidR="00B14877" w:rsidRPr="00B31C59">
        <w:rPr>
          <w:sz w:val="18"/>
        </w:rPr>
        <w:tab/>
        <w:t xml:space="preserve">D. Himmel, S. K. Goll, I. Leito, I. Krossing, </w:t>
      </w:r>
      <w:proofErr w:type="spellStart"/>
      <w:r w:rsidR="00B14877" w:rsidRPr="00B31C59">
        <w:rPr>
          <w:iCs/>
          <w:sz w:val="18"/>
        </w:rPr>
        <w:t>Angewandte</w:t>
      </w:r>
      <w:proofErr w:type="spellEnd"/>
      <w:r w:rsidR="00B14877" w:rsidRPr="00B31C59">
        <w:rPr>
          <w:iCs/>
          <w:sz w:val="18"/>
        </w:rPr>
        <w:t xml:space="preserve"> </w:t>
      </w:r>
      <w:proofErr w:type="spellStart"/>
      <w:r w:rsidR="00B14877" w:rsidRPr="00B31C59">
        <w:rPr>
          <w:iCs/>
          <w:sz w:val="18"/>
        </w:rPr>
        <w:t>Chemie</w:t>
      </w:r>
      <w:proofErr w:type="spellEnd"/>
      <w:r w:rsidR="00B14877" w:rsidRPr="00B31C59">
        <w:rPr>
          <w:iCs/>
          <w:sz w:val="18"/>
        </w:rPr>
        <w:t xml:space="preserve"> International Edition</w:t>
      </w:r>
      <w:r w:rsidR="00B31C59">
        <w:rPr>
          <w:iCs/>
          <w:sz w:val="18"/>
        </w:rPr>
        <w:t>,</w:t>
      </w:r>
      <w:r w:rsidR="00B14877" w:rsidRPr="00B31C59">
        <w:rPr>
          <w:sz w:val="18"/>
        </w:rPr>
        <w:t xml:space="preserve"> </w:t>
      </w:r>
      <w:r w:rsidR="00B31C59">
        <w:rPr>
          <w:b/>
          <w:sz w:val="18"/>
        </w:rPr>
        <w:t xml:space="preserve">49 </w:t>
      </w:r>
      <w:r w:rsidR="00B31C59">
        <w:rPr>
          <w:bCs/>
          <w:sz w:val="18"/>
        </w:rPr>
        <w:t>(2</w:t>
      </w:r>
      <w:r w:rsidR="00B14877" w:rsidRPr="00B31C59">
        <w:rPr>
          <w:bCs/>
          <w:sz w:val="18"/>
        </w:rPr>
        <w:t>010</w:t>
      </w:r>
      <w:r w:rsidR="00B31C59">
        <w:rPr>
          <w:bCs/>
          <w:sz w:val="18"/>
        </w:rPr>
        <w:t>)</w:t>
      </w:r>
      <w:r w:rsidR="00B14877" w:rsidRPr="00B31C59">
        <w:rPr>
          <w:sz w:val="18"/>
        </w:rPr>
        <w:t xml:space="preserve"> 6885–6888.</w:t>
      </w:r>
    </w:p>
    <w:p w14:paraId="75BB5085" w14:textId="2886B3B1" w:rsidR="00B14877" w:rsidRPr="00B31C59" w:rsidRDefault="00A473A5" w:rsidP="00B14877">
      <w:pPr>
        <w:pStyle w:val="Bibliography"/>
        <w:rPr>
          <w:sz w:val="18"/>
        </w:rPr>
      </w:pPr>
      <w:r w:rsidRPr="00B31C59">
        <w:rPr>
          <w:sz w:val="18"/>
        </w:rPr>
        <w:t>2.</w:t>
      </w:r>
      <w:r w:rsidR="00B14877" w:rsidRPr="00B31C59">
        <w:rPr>
          <w:sz w:val="18"/>
        </w:rPr>
        <w:tab/>
        <w:t xml:space="preserve">A. Suu, L. Jalukse, J. Liigand, A. Kruve, D. Himmel, I. Krossing, M. Rosés, I. Leito, </w:t>
      </w:r>
      <w:r w:rsidR="00B14877" w:rsidRPr="00B31C59">
        <w:rPr>
          <w:iCs/>
          <w:sz w:val="18"/>
        </w:rPr>
        <w:t>Analytical Chemistry</w:t>
      </w:r>
      <w:r w:rsidR="00B14877" w:rsidRPr="00B31C59">
        <w:rPr>
          <w:sz w:val="18"/>
        </w:rPr>
        <w:t xml:space="preserve"> </w:t>
      </w:r>
      <w:r w:rsidR="00E86C2E" w:rsidRPr="00E86C2E">
        <w:rPr>
          <w:b/>
          <w:sz w:val="18"/>
        </w:rPr>
        <w:t>87</w:t>
      </w:r>
      <w:r w:rsidR="00E86C2E">
        <w:rPr>
          <w:sz w:val="18"/>
        </w:rPr>
        <w:t xml:space="preserve"> (</w:t>
      </w:r>
      <w:r w:rsidR="00B14877" w:rsidRPr="00B31C59">
        <w:rPr>
          <w:bCs/>
          <w:sz w:val="18"/>
        </w:rPr>
        <w:t>2015</w:t>
      </w:r>
      <w:r w:rsidR="00E86C2E">
        <w:rPr>
          <w:bCs/>
          <w:sz w:val="18"/>
        </w:rPr>
        <w:t>)</w:t>
      </w:r>
      <w:r w:rsidR="00B14877" w:rsidRPr="00B31C59">
        <w:rPr>
          <w:sz w:val="18"/>
        </w:rPr>
        <w:t xml:space="preserve"> 2623–2630.</w:t>
      </w:r>
    </w:p>
    <w:p w14:paraId="2E0D05F0" w14:textId="23BD1FDC" w:rsidR="00B14877" w:rsidRPr="00B31C59" w:rsidRDefault="00A473A5" w:rsidP="00B14877">
      <w:pPr>
        <w:pStyle w:val="Bibliography"/>
        <w:rPr>
          <w:sz w:val="18"/>
        </w:rPr>
      </w:pPr>
      <w:r w:rsidRPr="00B31C59">
        <w:rPr>
          <w:sz w:val="18"/>
        </w:rPr>
        <w:t>3.</w:t>
      </w:r>
      <w:r w:rsidR="00B14877" w:rsidRPr="00B31C59">
        <w:rPr>
          <w:sz w:val="18"/>
        </w:rPr>
        <w:tab/>
        <w:t xml:space="preserve">A. Heering, D. Stoica, F. Camões, B. Anes, D. Nagy, Z. Nagyné Szilágyi, R. Quendera, L. Ribeiro, F. Bastkowski, R. Born, J. Nerut, J. Saame, S. Lainela, L. Liv, E. Uysal, M. Roziková, M. Vičarová, A. Snedden, L. Deleebeeck, V. Radtke, I. Krossing, I. Leito, </w:t>
      </w:r>
      <w:r w:rsidR="00B14877" w:rsidRPr="00B31C59">
        <w:rPr>
          <w:iCs/>
          <w:sz w:val="18"/>
        </w:rPr>
        <w:t>Symmetry</w:t>
      </w:r>
      <w:r w:rsidR="00B14877" w:rsidRPr="00B31C59">
        <w:rPr>
          <w:sz w:val="18"/>
        </w:rPr>
        <w:t xml:space="preserve"> </w:t>
      </w:r>
      <w:r w:rsidR="00E86C2E" w:rsidRPr="00E86C2E">
        <w:rPr>
          <w:b/>
          <w:sz w:val="18"/>
        </w:rPr>
        <w:t>12</w:t>
      </w:r>
      <w:r w:rsidR="00E86C2E">
        <w:rPr>
          <w:sz w:val="18"/>
        </w:rPr>
        <w:t xml:space="preserve"> (</w:t>
      </w:r>
      <w:r w:rsidR="00B14877" w:rsidRPr="00B31C59">
        <w:rPr>
          <w:bCs/>
          <w:sz w:val="18"/>
        </w:rPr>
        <w:t>2020</w:t>
      </w:r>
      <w:r w:rsidR="00E86C2E">
        <w:rPr>
          <w:sz w:val="18"/>
        </w:rPr>
        <w:t>)</w:t>
      </w:r>
      <w:r w:rsidR="00B14877" w:rsidRPr="00B31C59">
        <w:rPr>
          <w:sz w:val="18"/>
        </w:rPr>
        <w:t xml:space="preserve"> 1150.</w:t>
      </w:r>
    </w:p>
    <w:p w14:paraId="44A99956" w14:textId="0E69EF74" w:rsidR="00B14877" w:rsidRPr="00B31C59" w:rsidRDefault="00A473A5" w:rsidP="00B14877">
      <w:pPr>
        <w:pStyle w:val="Bibliography"/>
        <w:rPr>
          <w:sz w:val="18"/>
        </w:rPr>
      </w:pPr>
      <w:r w:rsidRPr="00B31C59">
        <w:rPr>
          <w:sz w:val="18"/>
        </w:rPr>
        <w:t>4.</w:t>
      </w:r>
      <w:r w:rsidR="00B14877" w:rsidRPr="00B31C59">
        <w:rPr>
          <w:sz w:val="18"/>
        </w:rPr>
        <w:tab/>
        <w:t xml:space="preserve">V. Radtke, D. Stoica, I. Leito, F. Camões, I. Krossing, B. Anes, M. Roziková, L. Deleebeeck, S. Veltzé, T. Näykki, F. Bastkowski, A. Heering, N. Dániel, R. Quendera, L. Liv, E. Uysal, N. Lawrence, </w:t>
      </w:r>
      <w:r w:rsidR="00B14877" w:rsidRPr="00B31C59">
        <w:rPr>
          <w:iCs/>
          <w:sz w:val="18"/>
        </w:rPr>
        <w:t>Pure and Applied Chemistry</w:t>
      </w:r>
      <w:r w:rsidR="00B14877" w:rsidRPr="00B31C59">
        <w:rPr>
          <w:sz w:val="18"/>
        </w:rPr>
        <w:t xml:space="preserve"> </w:t>
      </w:r>
      <w:r w:rsidR="00EC21B0" w:rsidRPr="00EC21B0">
        <w:rPr>
          <w:b/>
          <w:sz w:val="18"/>
        </w:rPr>
        <w:t>93</w:t>
      </w:r>
      <w:r w:rsidR="00EC21B0">
        <w:rPr>
          <w:sz w:val="18"/>
        </w:rPr>
        <w:t xml:space="preserve"> </w:t>
      </w:r>
      <w:r w:rsidR="00096A67">
        <w:rPr>
          <w:sz w:val="18"/>
        </w:rPr>
        <w:t>(</w:t>
      </w:r>
      <w:r w:rsidR="00B14877" w:rsidRPr="00B31C59">
        <w:rPr>
          <w:bCs/>
          <w:sz w:val="18"/>
        </w:rPr>
        <w:t>2021</w:t>
      </w:r>
      <w:r w:rsidR="00096A67">
        <w:rPr>
          <w:sz w:val="18"/>
        </w:rPr>
        <w:t>)</w:t>
      </w:r>
      <w:r w:rsidR="00B14877" w:rsidRPr="00B31C59">
        <w:rPr>
          <w:sz w:val="18"/>
        </w:rPr>
        <w:t xml:space="preserve"> </w:t>
      </w:r>
      <w:bookmarkStart w:id="0" w:name="_GoBack"/>
      <w:bookmarkEnd w:id="0"/>
      <w:r w:rsidR="00B14877" w:rsidRPr="00B31C59">
        <w:rPr>
          <w:sz w:val="18"/>
        </w:rPr>
        <w:t>1049–1060.</w:t>
      </w:r>
    </w:p>
    <w:p w14:paraId="396C4738" w14:textId="5F2AADA4" w:rsidR="000E75C5" w:rsidRDefault="000E75C5" w:rsidP="000E75C5">
      <w:pPr>
        <w:rPr>
          <w:sz w:val="18"/>
          <w:szCs w:val="18"/>
          <w:lang w:val="en-US"/>
        </w:rPr>
      </w:pPr>
    </w:p>
    <w:p w14:paraId="09F4F40E" w14:textId="77777777" w:rsidR="000E75C5" w:rsidRDefault="000E75C5" w:rsidP="000E75C5">
      <w:pPr>
        <w:rPr>
          <w:sz w:val="18"/>
          <w:szCs w:val="18"/>
          <w:lang w:val="en-US"/>
        </w:rPr>
      </w:pPr>
    </w:p>
    <w:p w14:paraId="15438638" w14:textId="77777777" w:rsidR="000E75C5" w:rsidRPr="00B16327" w:rsidRDefault="000E75C5" w:rsidP="000E75C5">
      <w:pPr>
        <w:rPr>
          <w:sz w:val="18"/>
          <w:szCs w:val="18"/>
          <w:lang w:val="en-US"/>
        </w:rPr>
      </w:pPr>
    </w:p>
    <w:sectPr w:rsidR="000E75C5" w:rsidRPr="00B16327" w:rsidSect="00A2477A">
      <w:headerReference w:type="default" r:id="rId11"/>
      <w:footerReference w:type="default" r:id="rId12"/>
      <w:pgSz w:w="11906" w:h="16838" w:code="9"/>
      <w:pgMar w:top="1276" w:right="1134" w:bottom="1134" w:left="1701" w:header="284" w:footer="562" w:gutter="0"/>
      <w:cols w:space="12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124BBF2" w14:textId="77777777" w:rsidR="00BF4217" w:rsidRDefault="00BF4217" w:rsidP="00A2477A">
      <w:r>
        <w:separator/>
      </w:r>
    </w:p>
  </w:endnote>
  <w:endnote w:type="continuationSeparator" w:id="0">
    <w:p w14:paraId="453414CD" w14:textId="77777777" w:rsidR="00BF4217" w:rsidRDefault="00BF4217" w:rsidP="00A247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6FAEC0" w14:textId="77777777" w:rsidR="00A2477A" w:rsidRDefault="00BD7443">
    <w:pPr>
      <w:pStyle w:val="Footer"/>
    </w:pPr>
    <w:r>
      <w:rPr>
        <w:noProof/>
        <w:lang w:val="en-GB"/>
      </w:rPr>
      <mc:AlternateContent>
        <mc:Choice Requires="wps">
          <w:drawing>
            <wp:anchor distT="0" distB="0" distL="114300" distR="114300" simplePos="0" relativeHeight="251656704" behindDoc="0" locked="0" layoutInCell="1" allowOverlap="1" wp14:anchorId="6B85C537" wp14:editId="05EBCD04">
              <wp:simplePos x="0" y="0"/>
              <wp:positionH relativeFrom="column">
                <wp:posOffset>-1072515</wp:posOffset>
              </wp:positionH>
              <wp:positionV relativeFrom="paragraph">
                <wp:posOffset>309880</wp:posOffset>
              </wp:positionV>
              <wp:extent cx="7635240" cy="137160"/>
              <wp:effectExtent l="0" t="0" r="0" b="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35240" cy="137160"/>
                      </a:xfrm>
                      <a:prstGeom prst="rect">
                        <a:avLst/>
                      </a:prstGeom>
                      <a:solidFill>
                        <a:srgbClr val="1A184A"/>
                      </a:solidFill>
                      <a:ln w="9525">
                        <a:solidFill>
                          <a:srgbClr val="1A184A"/>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64B139B" id="Rectangle 2" o:spid="_x0000_s1026" style="position:absolute;margin-left:-84.45pt;margin-top:24.4pt;width:601.2pt;height:10.8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" fillcolor="#1a184a" strokecolor="#1a184a"/>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E1F0093" w14:textId="77777777" w:rsidR="00BF4217" w:rsidRDefault="00BF4217" w:rsidP="00A2477A">
      <w:r>
        <w:separator/>
      </w:r>
    </w:p>
  </w:footnote>
  <w:footnote w:type="continuationSeparator" w:id="0">
    <w:p w14:paraId="3E0E92BB" w14:textId="77777777" w:rsidR="00BF4217" w:rsidRDefault="00BF4217" w:rsidP="00A2477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4057EA" w14:textId="77777777" w:rsidR="00183026" w:rsidRDefault="00BD7443" w:rsidP="00142163">
    <w:pPr>
      <w:pStyle w:val="Header"/>
      <w:ind w:left="-1134"/>
    </w:pPr>
    <w:r>
      <w:rPr>
        <w:noProof/>
        <w:lang w:val="en-GB"/>
      </w:rPr>
      <mc:AlternateContent>
        <mc:Choice Requires="wps">
          <w:drawing>
            <wp:anchor distT="0" distB="0" distL="114300" distR="114300" simplePos="0" relativeHeight="251658752" behindDoc="0" locked="0" layoutInCell="1" allowOverlap="1" wp14:anchorId="11D5C733" wp14:editId="51479823">
              <wp:simplePos x="0" y="0"/>
              <wp:positionH relativeFrom="column">
                <wp:posOffset>527685</wp:posOffset>
              </wp:positionH>
              <wp:positionV relativeFrom="paragraph">
                <wp:posOffset>185420</wp:posOffset>
              </wp:positionV>
              <wp:extent cx="6477000" cy="60960"/>
              <wp:effectExtent l="0" t="0" r="0" b="0"/>
              <wp:wrapNone/>
              <wp:docPr id="3"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77000" cy="60960"/>
                      </a:xfrm>
                      <a:prstGeom prst="rect">
                        <a:avLst/>
                      </a:prstGeom>
                      <a:solidFill>
                        <a:srgbClr val="00A743"/>
                      </a:solidFill>
                      <a:ln w="9525">
                        <a:solidFill>
                          <a:srgbClr val="1A184A"/>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1BA161A" id="Rectangle 5" o:spid="_x0000_s1026" style="position:absolute;margin-left:41.55pt;margin-top:14.6pt;width:510pt;height:4.8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" fillcolor="#00a743" strokecolor="#1a184a"/>
          </w:pict>
        </mc:Fallback>
      </mc:AlternateContent>
    </w:r>
    <w:r>
      <w:rPr>
        <w:noProof/>
        <w:lang w:val="en-GB"/>
      </w:rPr>
      <mc:AlternateContent>
        <mc:Choice Requires="wps">
          <w:drawing>
            <wp:anchor distT="0" distB="0" distL="114300" distR="114300" simplePos="0" relativeHeight="251657728" behindDoc="0" locked="0" layoutInCell="1" allowOverlap="1" wp14:anchorId="42A461CA" wp14:editId="37484B84">
              <wp:simplePos x="0" y="0"/>
              <wp:positionH relativeFrom="column">
                <wp:posOffset>527685</wp:posOffset>
              </wp:positionH>
              <wp:positionV relativeFrom="paragraph">
                <wp:posOffset>93980</wp:posOffset>
              </wp:positionV>
              <wp:extent cx="6477000" cy="60960"/>
              <wp:effectExtent l="0" t="0" r="0" b="0"/>
              <wp:wrapNone/>
              <wp:docPr id="2"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77000" cy="60960"/>
                      </a:xfrm>
                      <a:prstGeom prst="rect">
                        <a:avLst/>
                      </a:prstGeom>
                      <a:solidFill>
                        <a:srgbClr val="1A184A"/>
                      </a:solidFill>
                      <a:ln w="9525">
                        <a:solidFill>
                          <a:srgbClr val="1A184A"/>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62270B1" id="Rectangle 4" o:spid="_x0000_s1026" style="position:absolute;margin-left:41.55pt;margin-top:7.4pt;width:510pt;height:4.8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" fillcolor="#1a184a" strokecolor="#1a184a"/>
          </w:pict>
        </mc:Fallback>
      </mc:AlternateContent>
    </w:r>
    <w:r w:rsidR="00A2477A">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051285"/>
    <w:multiLevelType w:val="hybridMultilevel"/>
    <w:tmpl w:val="4AA06324"/>
    <w:lvl w:ilvl="0" w:tplc="B254BA36">
      <w:start w:val="1"/>
      <w:numFmt w:val="decimal"/>
      <w:lvlText w:val="%1."/>
      <w:lvlJc w:val="left"/>
      <w:pPr>
        <w:tabs>
          <w:tab w:val="num" w:pos="720"/>
        </w:tabs>
        <w:ind w:left="720" w:hanging="360"/>
      </w:pPr>
      <w:rPr>
        <w:b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49A61BE8"/>
    <w:multiLevelType w:val="singleLevel"/>
    <w:tmpl w:val="C232B478"/>
    <w:lvl w:ilvl="0">
      <w:start w:val="1"/>
      <w:numFmt w:val="decimal"/>
      <w:lvlText w:val="%1."/>
      <w:lvlJc w:val="left"/>
      <w:pPr>
        <w:tabs>
          <w:tab w:val="num" w:pos="360"/>
        </w:tabs>
        <w:ind w:left="360" w:hanging="360"/>
      </w:pPr>
      <w:rPr>
        <w:rFonts w:hint="default"/>
      </w:rPr>
    </w:lvl>
  </w:abstractNum>
  <w:abstractNum w:abstractNumId="2" w15:restartNumberingAfterBreak="0">
    <w:nsid w:val="6FFD173C"/>
    <w:multiLevelType w:val="multilevel"/>
    <w:tmpl w:val="2D1CFB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4E53E74"/>
    <w:multiLevelType w:val="hybridMultilevel"/>
    <w:tmpl w:val="1C9C0FD6"/>
    <w:lvl w:ilvl="0" w:tplc="04270001">
      <w:start w:val="2"/>
      <w:numFmt w:val="bullet"/>
      <w:lvlText w:val=""/>
      <w:lvlJc w:val="left"/>
      <w:pPr>
        <w:ind w:left="720" w:hanging="360"/>
      </w:pPr>
      <w:rPr>
        <w:rFonts w:ascii="Symbol" w:eastAsia="Times New Roman" w:hAnsi="Symbol" w:cs="Times New Roman"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4" w15:restartNumberingAfterBreak="0">
    <w:nsid w:val="7A0C7242"/>
    <w:multiLevelType w:val="hybridMultilevel"/>
    <w:tmpl w:val="C44C3712"/>
    <w:lvl w:ilvl="0" w:tplc="BB3A2EFC">
      <w:start w:val="2"/>
      <w:numFmt w:val="decimal"/>
      <w:lvlText w:val="%1"/>
      <w:lvlJc w:val="left"/>
      <w:pPr>
        <w:ind w:left="2062" w:hanging="360"/>
      </w:pPr>
      <w:rPr>
        <w:rFonts w:hint="default"/>
      </w:rPr>
    </w:lvl>
    <w:lvl w:ilvl="1" w:tplc="04270019" w:tentative="1">
      <w:start w:val="1"/>
      <w:numFmt w:val="lowerLetter"/>
      <w:lvlText w:val="%2."/>
      <w:lvlJc w:val="left"/>
      <w:pPr>
        <w:ind w:left="2782" w:hanging="360"/>
      </w:pPr>
    </w:lvl>
    <w:lvl w:ilvl="2" w:tplc="0427001B" w:tentative="1">
      <w:start w:val="1"/>
      <w:numFmt w:val="lowerRoman"/>
      <w:lvlText w:val="%3."/>
      <w:lvlJc w:val="right"/>
      <w:pPr>
        <w:ind w:left="3502" w:hanging="180"/>
      </w:pPr>
    </w:lvl>
    <w:lvl w:ilvl="3" w:tplc="0427000F" w:tentative="1">
      <w:start w:val="1"/>
      <w:numFmt w:val="decimal"/>
      <w:lvlText w:val="%4."/>
      <w:lvlJc w:val="left"/>
      <w:pPr>
        <w:ind w:left="4222" w:hanging="360"/>
      </w:pPr>
    </w:lvl>
    <w:lvl w:ilvl="4" w:tplc="04270019" w:tentative="1">
      <w:start w:val="1"/>
      <w:numFmt w:val="lowerLetter"/>
      <w:lvlText w:val="%5."/>
      <w:lvlJc w:val="left"/>
      <w:pPr>
        <w:ind w:left="4942" w:hanging="360"/>
      </w:pPr>
    </w:lvl>
    <w:lvl w:ilvl="5" w:tplc="0427001B" w:tentative="1">
      <w:start w:val="1"/>
      <w:numFmt w:val="lowerRoman"/>
      <w:lvlText w:val="%6."/>
      <w:lvlJc w:val="right"/>
      <w:pPr>
        <w:ind w:left="5662" w:hanging="180"/>
      </w:pPr>
    </w:lvl>
    <w:lvl w:ilvl="6" w:tplc="0427000F" w:tentative="1">
      <w:start w:val="1"/>
      <w:numFmt w:val="decimal"/>
      <w:lvlText w:val="%7."/>
      <w:lvlJc w:val="left"/>
      <w:pPr>
        <w:ind w:left="6382" w:hanging="360"/>
      </w:pPr>
    </w:lvl>
    <w:lvl w:ilvl="7" w:tplc="04270019" w:tentative="1">
      <w:start w:val="1"/>
      <w:numFmt w:val="lowerLetter"/>
      <w:lvlText w:val="%8."/>
      <w:lvlJc w:val="left"/>
      <w:pPr>
        <w:ind w:left="7102" w:hanging="360"/>
      </w:pPr>
    </w:lvl>
    <w:lvl w:ilvl="8" w:tplc="0427001B" w:tentative="1">
      <w:start w:val="1"/>
      <w:numFmt w:val="lowerRoman"/>
      <w:lvlText w:val="%9."/>
      <w:lvlJc w:val="right"/>
      <w:pPr>
        <w:ind w:left="7822" w:hanging="180"/>
      </w:pPr>
    </w:lvl>
  </w:abstractNum>
  <w:num w:numId="1">
    <w:abstractNumId w:val="1"/>
  </w:num>
  <w:num w:numId="2">
    <w:abstractNumId w:val="2"/>
  </w:num>
  <w:num w:numId="3">
    <w:abstractNumId w:val="3"/>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4"/>
  <w:doNotDisplayPageBoundaries/>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isplayHorizontalDrawingGridEvery w:val="0"/>
  <w:displayVerticalDrawingGridEvery w:val="0"/>
  <w:doNotUseMarginsForDrawingGridOrigin/>
  <w:noPunctuationKerning/>
  <w:characterSpacingControl w:val="doNotCompress"/>
  <w:hdrShapeDefaults>
    <o:shapedefaults v:ext="edit" spidmax="2049">
      <o:colormru v:ext="edit" colors="#1a184a,#00a743"/>
    </o:shapedefaults>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3479"/>
    <w:rsid w:val="0000358D"/>
    <w:rsid w:val="00006AE2"/>
    <w:rsid w:val="00053A2C"/>
    <w:rsid w:val="00096A67"/>
    <w:rsid w:val="000C662A"/>
    <w:rsid w:val="000D0AEB"/>
    <w:rsid w:val="000D2DF1"/>
    <w:rsid w:val="000D5188"/>
    <w:rsid w:val="000E75C5"/>
    <w:rsid w:val="00142163"/>
    <w:rsid w:val="00183026"/>
    <w:rsid w:val="001B04C1"/>
    <w:rsid w:val="00254F67"/>
    <w:rsid w:val="00257DE8"/>
    <w:rsid w:val="002B0165"/>
    <w:rsid w:val="002E3E1D"/>
    <w:rsid w:val="0039124C"/>
    <w:rsid w:val="00396368"/>
    <w:rsid w:val="00473E20"/>
    <w:rsid w:val="004A1E19"/>
    <w:rsid w:val="004A7385"/>
    <w:rsid w:val="00537921"/>
    <w:rsid w:val="005427AB"/>
    <w:rsid w:val="00552651"/>
    <w:rsid w:val="005A4066"/>
    <w:rsid w:val="006343C0"/>
    <w:rsid w:val="00657560"/>
    <w:rsid w:val="006670FD"/>
    <w:rsid w:val="0067072F"/>
    <w:rsid w:val="00690DF9"/>
    <w:rsid w:val="00696307"/>
    <w:rsid w:val="006A1428"/>
    <w:rsid w:val="006F0F0E"/>
    <w:rsid w:val="007252E6"/>
    <w:rsid w:val="007512A5"/>
    <w:rsid w:val="00790B01"/>
    <w:rsid w:val="008051FE"/>
    <w:rsid w:val="0083214A"/>
    <w:rsid w:val="008655D7"/>
    <w:rsid w:val="00867ED4"/>
    <w:rsid w:val="00880C16"/>
    <w:rsid w:val="008E3E70"/>
    <w:rsid w:val="009B174E"/>
    <w:rsid w:val="009E42F6"/>
    <w:rsid w:val="00A23A3D"/>
    <w:rsid w:val="00A2477A"/>
    <w:rsid w:val="00A473A5"/>
    <w:rsid w:val="00A57553"/>
    <w:rsid w:val="00AA7C75"/>
    <w:rsid w:val="00AF3BF8"/>
    <w:rsid w:val="00B14877"/>
    <w:rsid w:val="00B16327"/>
    <w:rsid w:val="00B26DE5"/>
    <w:rsid w:val="00B31C59"/>
    <w:rsid w:val="00B4255F"/>
    <w:rsid w:val="00BD7443"/>
    <w:rsid w:val="00BF4217"/>
    <w:rsid w:val="00CA4F1A"/>
    <w:rsid w:val="00CE3B6D"/>
    <w:rsid w:val="00D270D1"/>
    <w:rsid w:val="00D4096A"/>
    <w:rsid w:val="00D91D46"/>
    <w:rsid w:val="00DB3C62"/>
    <w:rsid w:val="00DC2865"/>
    <w:rsid w:val="00DD3479"/>
    <w:rsid w:val="00E167F2"/>
    <w:rsid w:val="00E86C2E"/>
    <w:rsid w:val="00EA0529"/>
    <w:rsid w:val="00EC21B0"/>
    <w:rsid w:val="00EF7C9E"/>
  </w:rsids>
  <m:mathPr>
    <m:mathFont m:val="Cambria Math"/>
    <m:brkBin m:val="before"/>
    <m:brkBinSub m:val="--"/>
    <m:smallFrac m:val="0"/>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1a184a,#00a743"/>
    </o:shapedefaults>
    <o:shapelayout v:ext="edit">
      <o:idmap v:ext="edit" data="1"/>
    </o:shapelayout>
  </w:shapeDefaults>
  <w:decimalSymbol w:val=","/>
  <w:listSeparator w:val=";"/>
  <w14:docId w14:val="150CACB1"/>
  <w15:chartTrackingRefBased/>
  <w15:docId w15:val="{3FD31E0D-BD4F-443B-9269-51440A83DD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t-EE" w:eastAsia="et-EE"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pPr>
      <w:jc w:val="both"/>
    </w:pPr>
    <w:rPr>
      <w:sz w:val="24"/>
      <w:szCs w:val="24"/>
      <w:lang w:val="en-AU" w:eastAsia="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5A4066"/>
    <w:rPr>
      <w:color w:val="0563C1"/>
      <w:u w:val="single"/>
    </w:rPr>
  </w:style>
  <w:style w:type="character" w:styleId="UnresolvedMention">
    <w:name w:val="Unresolved Mention"/>
    <w:uiPriority w:val="99"/>
    <w:semiHidden/>
    <w:unhideWhenUsed/>
    <w:rsid w:val="005A4066"/>
    <w:rPr>
      <w:color w:val="605E5C"/>
      <w:shd w:val="clear" w:color="auto" w:fill="E1DFDD"/>
    </w:rPr>
  </w:style>
  <w:style w:type="paragraph" w:styleId="Header">
    <w:name w:val="header"/>
    <w:basedOn w:val="Normal"/>
    <w:link w:val="HeaderChar"/>
    <w:rsid w:val="00A2477A"/>
    <w:pPr>
      <w:tabs>
        <w:tab w:val="center" w:pos="4680"/>
        <w:tab w:val="right" w:pos="9360"/>
      </w:tabs>
    </w:pPr>
  </w:style>
  <w:style w:type="character" w:customStyle="1" w:styleId="HeaderChar">
    <w:name w:val="Header Char"/>
    <w:link w:val="Header"/>
    <w:rsid w:val="00A2477A"/>
    <w:rPr>
      <w:sz w:val="24"/>
      <w:szCs w:val="24"/>
      <w:lang w:val="en-AU"/>
    </w:rPr>
  </w:style>
  <w:style w:type="paragraph" w:styleId="Footer">
    <w:name w:val="footer"/>
    <w:basedOn w:val="Normal"/>
    <w:link w:val="FooterChar"/>
    <w:rsid w:val="00A2477A"/>
    <w:pPr>
      <w:tabs>
        <w:tab w:val="center" w:pos="4680"/>
        <w:tab w:val="right" w:pos="9360"/>
      </w:tabs>
    </w:pPr>
  </w:style>
  <w:style w:type="character" w:customStyle="1" w:styleId="FooterChar">
    <w:name w:val="Footer Char"/>
    <w:link w:val="Footer"/>
    <w:rsid w:val="00A2477A"/>
    <w:rPr>
      <w:sz w:val="24"/>
      <w:szCs w:val="24"/>
      <w:lang w:val="en-AU"/>
    </w:rPr>
  </w:style>
  <w:style w:type="table" w:styleId="TableGrid">
    <w:name w:val="Table Grid"/>
    <w:basedOn w:val="TableNormal"/>
    <w:rsid w:val="009B174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ibliography">
    <w:name w:val="Bibliography"/>
    <w:basedOn w:val="Normal"/>
    <w:next w:val="Normal"/>
    <w:uiPriority w:val="37"/>
    <w:unhideWhenUsed/>
    <w:rsid w:val="000E75C5"/>
    <w:pPr>
      <w:tabs>
        <w:tab w:val="left" w:pos="384"/>
      </w:tabs>
      <w:ind w:left="384" w:hanging="384"/>
    </w:pPr>
  </w:style>
  <w:style w:type="character" w:styleId="CommentReference">
    <w:name w:val="annotation reference"/>
    <w:basedOn w:val="DefaultParagraphFont"/>
    <w:rsid w:val="008655D7"/>
    <w:rPr>
      <w:sz w:val="16"/>
      <w:szCs w:val="16"/>
    </w:rPr>
  </w:style>
  <w:style w:type="paragraph" w:styleId="CommentText">
    <w:name w:val="annotation text"/>
    <w:basedOn w:val="Normal"/>
    <w:link w:val="CommentTextChar"/>
    <w:rsid w:val="008655D7"/>
    <w:rPr>
      <w:sz w:val="20"/>
      <w:szCs w:val="20"/>
    </w:rPr>
  </w:style>
  <w:style w:type="character" w:customStyle="1" w:styleId="CommentTextChar">
    <w:name w:val="Comment Text Char"/>
    <w:basedOn w:val="DefaultParagraphFont"/>
    <w:link w:val="CommentText"/>
    <w:rsid w:val="008655D7"/>
    <w:rPr>
      <w:lang w:val="en-AU" w:eastAsia="en-GB"/>
    </w:rPr>
  </w:style>
  <w:style w:type="paragraph" w:styleId="CommentSubject">
    <w:name w:val="annotation subject"/>
    <w:basedOn w:val="CommentText"/>
    <w:next w:val="CommentText"/>
    <w:link w:val="CommentSubjectChar"/>
    <w:rsid w:val="008655D7"/>
    <w:rPr>
      <w:b/>
      <w:bCs/>
    </w:rPr>
  </w:style>
  <w:style w:type="character" w:customStyle="1" w:styleId="CommentSubjectChar">
    <w:name w:val="Comment Subject Char"/>
    <w:basedOn w:val="CommentTextChar"/>
    <w:link w:val="CommentSubject"/>
    <w:rsid w:val="008655D7"/>
    <w:rPr>
      <w:b/>
      <w:bCs/>
      <w:lang w:val="en-AU" w:eastAsia="en-GB"/>
    </w:rPr>
  </w:style>
  <w:style w:type="paragraph" w:styleId="BalloonText">
    <w:name w:val="Balloon Text"/>
    <w:basedOn w:val="Normal"/>
    <w:link w:val="BalloonTextChar"/>
    <w:rsid w:val="008655D7"/>
    <w:rPr>
      <w:rFonts w:ascii="Segoe UI" w:hAnsi="Segoe UI" w:cs="Segoe UI"/>
      <w:sz w:val="18"/>
      <w:szCs w:val="18"/>
    </w:rPr>
  </w:style>
  <w:style w:type="character" w:customStyle="1" w:styleId="BalloonTextChar">
    <w:name w:val="Balloon Text Char"/>
    <w:basedOn w:val="DefaultParagraphFont"/>
    <w:link w:val="BalloonText"/>
    <w:rsid w:val="008655D7"/>
    <w:rPr>
      <w:rFonts w:ascii="Segoe UI" w:hAnsi="Segoe UI" w:cs="Segoe UI"/>
      <w:sz w:val="18"/>
      <w:szCs w:val="18"/>
      <w:lang w:val="en-AU"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05067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file:///C:\Users\leito\Dropbox\Yritused\CCT_2023\www.uniphied.eu"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cf310bba-d592-4ded-9639-ab348fc44146">
      <Terms xmlns="http://schemas.microsoft.com/office/infopath/2007/PartnerControls"/>
    </lcf76f155ced4ddcb4097134ff3c332f>
    <TaxCatchAll xmlns="94edfa20-4b35-4699-8d2f-fff64a705f89"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8BA7553D1D9B2418A1CA06CF5CADE72" ma:contentTypeVersion="9" ma:contentTypeDescription="Create a new document." ma:contentTypeScope="" ma:versionID="4c387c4b00ab6bac422cdafea5dccae8">
  <xsd:schema xmlns:xsd="http://www.w3.org/2001/XMLSchema" xmlns:xs="http://www.w3.org/2001/XMLSchema" xmlns:p="http://schemas.microsoft.com/office/2006/metadata/properties" xmlns:ns2="cf310bba-d592-4ded-9639-ab348fc44146" xmlns:ns3="94edfa20-4b35-4699-8d2f-fff64a705f89" targetNamespace="http://schemas.microsoft.com/office/2006/metadata/properties" ma:root="true" ma:fieldsID="942b8782eb62efcdb583faa80651fc13" ns2:_="" ns3:_="">
    <xsd:import namespace="cf310bba-d592-4ded-9639-ab348fc44146"/>
    <xsd:import namespace="94edfa20-4b35-4699-8d2f-fff64a705f89"/>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310bba-d592-4ded-9639-ab348fc4414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bd1d6e2d-d61e-4002-9eb5-e7f8ec1ff8b0" ma:termSetId="09814cd3-568e-fe90-9814-8d621ff8fb84" ma:anchorId="fba54fb3-c3e1-fe81-a776-ca4b69148c4d" ma:open="true" ma:isKeyword="false">
      <xsd:complexType>
        <xsd:sequence>
          <xsd:element ref="pc:Terms" minOccurs="0" maxOccurs="1"/>
        </xsd:sequence>
      </xsd:complex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4edfa20-4b35-4699-8d2f-fff64a705f89"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ce84030c-e9d2-4eb3-a133-5e40721ac41e}" ma:internalName="TaxCatchAll" ma:showField="CatchAllData" ma:web="94edfa20-4b35-4699-8d2f-fff64a705f8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C97BF37-B6D6-497C-A258-92BB45569FDD}">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A683B3CC-006D-4733-84BC-CDB6C17CF4B8}"/>
</file>

<file path=customXml/itemProps3.xml><?xml version="1.0" encoding="utf-8"?>
<ds:datastoreItem xmlns:ds="http://schemas.openxmlformats.org/officeDocument/2006/customXml" ds:itemID="{F351A2ED-676D-429B-BBBA-9D997FD5E9D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446</Words>
  <Characters>2590</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TEZIŲ RUOŠIMO PAVYZDYS IR NURODYMAI AUTORIAMS</vt:lpstr>
    </vt:vector>
  </TitlesOfParts>
  <Company>Chf</Company>
  <LinksUpToDate>false</LinksUpToDate>
  <CharactersWithSpaces>3030</CharactersWithSpaces>
  <SharedDoc>false</SharedDoc>
  <HLinks>
    <vt:vector size="12" baseType="variant">
      <vt:variant>
        <vt:i4>4522047</vt:i4>
      </vt:variant>
      <vt:variant>
        <vt:i4>12</vt:i4>
      </vt:variant>
      <vt:variant>
        <vt:i4>0</vt:i4>
      </vt:variant>
      <vt:variant>
        <vt:i4>5</vt:i4>
      </vt:variant>
      <vt:variant>
        <vt:lpwstr>mailto:cct2023@chgf.vu.lt</vt:lpwstr>
      </vt:variant>
      <vt:variant>
        <vt:lpwstr/>
      </vt:variant>
      <vt:variant>
        <vt:i4>3080255</vt:i4>
      </vt:variant>
      <vt:variant>
        <vt:i4>6</vt:i4>
      </vt:variant>
      <vt:variant>
        <vt:i4>0</vt:i4>
      </vt:variant>
      <vt:variant>
        <vt:i4>5</vt:i4>
      </vt:variant>
      <vt:variant>
        <vt:lpwstr>www.uniphied.eu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TEZIŲ RUOŠIMO PAVYZDYS IR NURODYMAI AUTORIAMS</dc:title>
  <dc:subject/>
  <dc:creator>Sigitas Tumkevicius</dc:creator>
  <cp:keywords/>
  <cp:lastModifiedBy>Ivo Leito</cp:lastModifiedBy>
  <cp:revision>8</cp:revision>
  <cp:lastPrinted>2003-04-09T07:04:00Z</cp:lastPrinted>
  <dcterms:created xsi:type="dcterms:W3CDTF">2022-12-21T07:42:00Z</dcterms:created>
  <dcterms:modified xsi:type="dcterms:W3CDTF">2022-12-21T07:45:00Z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cf76f155ced4ddcb4097134ff3c332f">
    <vt:lpwstr/>
  </property>
  <property fmtid="{D5CDD505-2E9C-101B-9397-08002B2CF9AE}" pid="3" name="TaxCatchAll">
    <vt:lpwstr/>
  </property>
  <property fmtid="{D5CDD505-2E9C-101B-9397-08002B2CF9AE}" pid="4" name="ZOTERO_PREF_1">
    <vt:lpwstr>&lt;data data-version="3" zotero-version="6.0.4"&gt;&lt;session id="0SfdzMuo"/&gt;&lt;style id="http://www.zotero.org/styles/angewandte-chemie" hasBibliography="1" bibliographyStyleHasBeenSet="1"/&gt;&lt;prefs&gt;&lt;pref name="fieldType" value="Field"/&gt;&lt;/prefs&gt;&lt;/data&gt;</vt:lpwstr>
  </property>
  <property fmtid="{D5CDD505-2E9C-101B-9397-08002B2CF9AE}" pid="5" name="ContentTypeId">
    <vt:lpwstr>0x01010018BA7553D1D9B2418A1CA06CF5CADE72</vt:lpwstr>
  </property>
  <property fmtid="{D5CDD505-2E9C-101B-9397-08002B2CF9AE}" pid="6" name="GrammarlyDocumentId">
    <vt:lpwstr>c95b53e1e04969d410234a54eb3834fd737be4882a36581c8bc5597ba10d5d13</vt:lpwstr>
  </property>
</Properties>
</file>